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Aucun"/>
          <w:rFonts w:ascii="Times New Roman" w:hAnsi="Times New Roman"/>
          <w:b w:val="0"/>
          <w:bCs w:val="0"/>
          <w:sz w:val="20"/>
          <w:szCs w:val="20"/>
        </w:rPr>
      </w:pPr>
    </w:p>
    <w:p>
      <w:pPr>
        <w:pStyle w:val="Body Text"/>
        <w:spacing w:before="3"/>
        <w:rPr>
          <w:rStyle w:val="Aucun"/>
          <w:rFonts w:ascii="Times New Roman" w:hAnsi="Times New Roman"/>
          <w:b w:val="0"/>
          <w:bCs w:val="0"/>
          <w:sz w:val="12"/>
          <w:szCs w:val="12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line">
                  <wp:posOffset>41275</wp:posOffset>
                </wp:positionV>
                <wp:extent cx="1990725" cy="171450"/>
                <wp:effectExtent l="0" t="0" r="0" b="0"/>
                <wp:wrapNone/>
                <wp:docPr id="1073741825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2.5pt;margin-top:3.2pt;width:156.8pt;height:1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line">
                  <wp:posOffset>45085</wp:posOffset>
                </wp:positionV>
                <wp:extent cx="1990725" cy="171450"/>
                <wp:effectExtent l="0" t="0" r="0" b="0"/>
                <wp:wrapNone/>
                <wp:docPr id="1073741826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1450"/>
                        </a:xfrm>
                        <a:prstGeom prst="rect">
                          <a:avLst/>
                        </a:prstGeom>
                        <a:solidFill>
                          <a:srgbClr val="3760D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.8pt;margin-top:3.5pt;width:156.8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3760D5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line">
                  <wp:posOffset>42544</wp:posOffset>
                </wp:positionV>
                <wp:extent cx="1990725" cy="171450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0.5pt;margin-top:3.3pt;width:156.8pt;height:1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Text"/>
        <w:spacing w:before="10"/>
        <w:rPr>
          <w:rStyle w:val="Aucun"/>
          <w:rFonts w:ascii="Times New Roman" w:hAnsi="Times New Roman"/>
          <w:b w:val="0"/>
          <w:bCs w:val="0"/>
          <w:sz w:val="13"/>
          <w:szCs w:val="13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sz w:val="34"/>
          <w:szCs w:val="34"/>
          <w:u w:val="none"/>
        </w:rPr>
      </w:pPr>
      <w:r>
        <w:rPr>
          <w:rStyle w:val="Aucun"/>
          <w:sz w:val="34"/>
          <w:szCs w:val="34"/>
          <w:u w:val="none"/>
          <w:rtl w:val="0"/>
          <w:lang w:val="fr-FR"/>
        </w:rPr>
        <w:t xml:space="preserve">    LIBERTE</w:t>
        <w:tab/>
        <w:t xml:space="preserve">   EGALITE</w:t>
      </w:r>
      <w:r>
        <w:rPr>
          <w:rStyle w:val="Aucun"/>
          <w:outline w:val="0"/>
          <w:color w:val="001f5f"/>
          <w:sz w:val="34"/>
          <w:szCs w:val="34"/>
          <w:u w:val="none" w:color="001f5f"/>
          <w:rtl w:val="0"/>
          <w14:textFill>
            <w14:solidFill>
              <w14:srgbClr w14:val="001F5F"/>
            </w14:solidFill>
          </w14:textFill>
        </w:rPr>
        <w:tab/>
        <w:t xml:space="preserve">   </w:t>
      </w:r>
      <w:r>
        <w:rPr>
          <w:rStyle w:val="Aucun"/>
          <w:sz w:val="34"/>
          <w:szCs w:val="34"/>
          <w:u w:val="none"/>
          <w:rtl w:val="0"/>
          <w:lang w:val="fr-FR"/>
        </w:rPr>
        <w:t>FRATERNITE</w:t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u w:val="none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u w:val="none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sz w:val="38"/>
          <w:szCs w:val="38"/>
        </w:rPr>
      </w:pPr>
      <w:r>
        <w:rPr>
          <w:rStyle w:val="Aucun"/>
          <w:sz w:val="38"/>
          <w:szCs w:val="38"/>
          <w:rtl w:val="0"/>
          <w:lang w:val="fr-FR"/>
        </w:rPr>
        <w:t>ATTESTATION DE NON-CONTAMINATION AU SARS-COV-2</w:t>
      </w:r>
    </w:p>
    <w:p>
      <w:pPr>
        <w:pStyle w:val="Body Text"/>
        <w:rPr>
          <w:rStyle w:val="Aucun"/>
          <w:sz w:val="28"/>
          <w:szCs w:val="28"/>
        </w:rPr>
      </w:pPr>
    </w:p>
    <w:p>
      <w:pPr>
        <w:pStyle w:val="Corps"/>
        <w:jc w:val="both"/>
      </w:pP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alin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 11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ambule de la Constitution du 1946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gissant le droit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protection de la sant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2021/953 du Parlement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et du Conseil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14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paragraphe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36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solution 2361 du Conseil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Europe en ses articles 7.3.1. et 7.3.2.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la protection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tous moyens disponibles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 de toute personne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1110-4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le respect du secret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</w:t>
      </w:r>
      <w:r>
        <w:rPr>
          <w:rStyle w:val="Aucun"/>
          <w:spacing w:val="0"/>
          <w:rtl w:val="0"/>
          <w:lang w:val="fr-FR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articles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225-1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suivants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interdisent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discrimination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      </w:t>
      </w:r>
      <w:r>
        <w:rPr>
          <w:rStyle w:val="Aucun"/>
          <w:spacing w:val="0"/>
          <w:rtl w:val="0"/>
          <w:lang w:val="fr-FR"/>
        </w:rPr>
        <w:t xml:space="preserve"> sur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violation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trois ans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et 45.000 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441-7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fausse 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attestation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loi 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2021-1040 du 5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 2021 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crise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admet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 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 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2021-1343 du 14 octobre 2021,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2021-699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rtl w:val="0"/>
          <w:lang w:val="fr-FR"/>
        </w:rPr>
        <w:t xml:space="preserve">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sortie de crise 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les paragraphes 5271 et 4274 de la Nomenclature des actes de biologie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dicale.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jc w:val="center"/>
        <w:rPr>
          <w:rStyle w:val="Aucun"/>
          <w:i w:val="1"/>
          <w:iCs w:val="1"/>
          <w:sz w:val="26"/>
          <w:szCs w:val="26"/>
        </w:rPr>
      </w:pPr>
      <w:r>
        <w:rPr>
          <w:rStyle w:val="Aucun"/>
          <w:i w:val="1"/>
          <w:iCs w:val="1"/>
          <w:sz w:val="26"/>
          <w:szCs w:val="26"/>
          <w:rtl w:val="0"/>
          <w:lang w:val="fr-FR"/>
        </w:rPr>
        <w:t>Document qui atteste le 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sultat n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gatif d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un autotest pratiqu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conform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ment aux lois internationales, europ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ennes et fran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ç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aises valable pour une dur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 de 72 heures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ind w:left="116" w:firstLine="0"/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atteste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honneur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avoir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marque</w:t>
      </w:r>
      <w:r>
        <w:rPr>
          <w:rStyle w:val="Aucun"/>
          <w:rtl w:val="0"/>
          <w:lang w:val="fr-FR"/>
        </w:rPr>
        <w:t>…………………………</w:t>
      </w:r>
    </w:p>
    <w:p>
      <w:pPr>
        <w:pStyle w:val="Body Text"/>
        <w:tabs>
          <w:tab w:val="left" w:pos="8484" w:leader="dot"/>
        </w:tabs>
        <w:spacing w:before="24"/>
        <w:ind w:left="116" w:firstLine="0"/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Covid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19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date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./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/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  <w:tab/>
      </w:r>
      <w:r>
        <w:rPr>
          <w:rStyle w:val="Aucun"/>
          <w:rtl w:val="0"/>
          <w:lang w:val="fr-FR"/>
        </w:rPr>
        <w:t>heure.</w:t>
      </w:r>
    </w:p>
    <w:p>
      <w:pPr>
        <w:pStyle w:val="Body Text"/>
      </w:pPr>
    </w:p>
    <w:p>
      <w:pPr>
        <w:pStyle w:val="Body Text"/>
        <w:spacing w:before="2"/>
        <w:rPr>
          <w:rStyle w:val="Aucun"/>
          <w:sz w:val="34"/>
          <w:szCs w:val="34"/>
        </w:rPr>
      </w:pPr>
    </w:p>
    <w:p>
      <w:pPr>
        <w:pStyle w:val="heading 1"/>
        <w:rPr>
          <w:rStyle w:val="Aucun"/>
          <w:sz w:val="34"/>
          <w:szCs w:val="34"/>
          <w:u w:val="none"/>
        </w:rPr>
      </w:pP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«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RESULTAT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DE</w:t>
      </w:r>
      <w:r>
        <w:rPr>
          <w:rStyle w:val="Aucun"/>
          <w:outline w:val="0"/>
          <w:color w:val="c00000"/>
          <w:spacing w:val="-5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L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AUTOTEST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: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NEGATIF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»</w:t>
      </w:r>
    </w:p>
    <w:p>
      <w:pPr>
        <w:pStyle w:val="Body Text"/>
        <w:rPr>
          <w:rStyle w:val="Aucun"/>
          <w:sz w:val="20"/>
          <w:szCs w:val="20"/>
        </w:rPr>
      </w:pPr>
    </w:p>
    <w:p>
      <w:pPr>
        <w:pStyle w:val="Body Text"/>
        <w:rPr>
          <w:rStyle w:val="Aucun"/>
          <w:sz w:val="20"/>
          <w:szCs w:val="20"/>
        </w:rPr>
      </w:pPr>
    </w:p>
    <w:p>
      <w:pPr>
        <w:pStyle w:val="Body Text"/>
        <w:spacing w:before="9"/>
        <w:rPr>
          <w:rStyle w:val="Aucun"/>
          <w:sz w:val="18"/>
          <w:szCs w:val="18"/>
        </w:rPr>
      </w:pPr>
    </w:p>
    <w:p>
      <w:pPr>
        <w:pStyle w:val="Corps"/>
        <w:spacing w:line="259" w:lineRule="auto"/>
        <w:ind w:left="116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Connaissance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prise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dispositions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l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en-US"/>
        </w:rPr>
        <w:t>article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ru-RU"/>
        </w:rPr>
        <w:t>441-7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du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Code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nal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: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Je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pt-PT"/>
        </w:rPr>
        <w:t>clare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n-US"/>
        </w:rPr>
        <w:t>inform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s-ES_tradnl"/>
        </w:rPr>
        <w:t>que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toute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fausse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claration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peut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it-IT"/>
        </w:rPr>
        <w:t>punie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un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an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et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pt-PT"/>
        </w:rPr>
        <w:t>15.000 euros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amende.</w:t>
      </w:r>
    </w:p>
    <w:p>
      <w:pPr>
        <w:pStyle w:val="Body Text"/>
        <w:spacing w:before="5"/>
        <w:rPr>
          <w:rStyle w:val="Aucun"/>
          <w:sz w:val="8"/>
          <w:szCs w:val="8"/>
        </w:rPr>
      </w:pPr>
    </w:p>
    <w:p>
      <w:pPr>
        <w:pStyle w:val="Corps"/>
        <w:spacing w:before="160" w:line="256" w:lineRule="auto"/>
        <w:ind w:left="116" w:right="113" w:firstLine="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Cette attestation peut </w:t>
      </w:r>
      <w:r>
        <w:rPr>
          <w:rStyle w:val="Aucun"/>
          <w:b w:val="1"/>
          <w:bCs w:val="1"/>
          <w:i w:val="1"/>
          <w:iCs w:val="1"/>
          <w:rtl w:val="0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</w:rPr>
        <w:t>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charg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et accompagn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lors du contr</w:t>
      </w:r>
      <w:r>
        <w:rPr>
          <w:rStyle w:val="Aucun"/>
          <w:b w:val="1"/>
          <w:bCs w:val="1"/>
          <w:i w:val="1"/>
          <w:iCs w:val="1"/>
          <w:rtl w:val="0"/>
        </w:rPr>
        <w:t>ô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le de la photo portant le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sultat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du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test</w:t>
      </w:r>
    </w:p>
    <w:p>
      <w:pPr>
        <w:pStyle w:val="Corps"/>
        <w:tabs>
          <w:tab w:val="left" w:pos="1559"/>
        </w:tabs>
        <w:spacing w:before="165"/>
        <w:jc w:val="both"/>
        <w:rPr>
          <w:rStyle w:val="Aucun"/>
          <w:b w:val="1"/>
          <w:bCs w:val="1"/>
        </w:rPr>
      </w:pP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Fait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à</w:t>
        <w:tab/>
      </w:r>
      <w:r>
        <w:rPr>
          <w:rStyle w:val="Aucun"/>
          <w:b w:val="1"/>
          <w:bCs w:val="1"/>
          <w:rtl w:val="0"/>
          <w:lang w:val="fr-FR"/>
        </w:rPr>
        <w:t xml:space="preserve">                                                   </w:t>
      </w:r>
      <w:r>
        <w:rPr>
          <w:rStyle w:val="Aucun"/>
          <w:b w:val="1"/>
          <w:bCs w:val="1"/>
          <w:rtl w:val="0"/>
        </w:rPr>
        <w:t>le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>Signature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du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pt-PT"/>
        </w:rPr>
        <w:t>clarant</w:t>
      </w:r>
    </w:p>
    <w:p>
      <w:pPr>
        <w:pStyle w:val="Corps"/>
        <w:spacing w:before="180"/>
        <w:jc w:val="both"/>
        <w:rPr>
          <w:rStyle w:val="Aucun"/>
          <w:b w:val="1"/>
          <w:bCs w:val="1"/>
          <w:sz w:val="34"/>
          <w:szCs w:val="34"/>
        </w:rPr>
      </w:pP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Selon une opinion g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rale le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cret </w:t>
      </w:r>
      <w:bookmarkStart w:name="_Hlk85215968" w:id="0"/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°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2021-1343 du 14 octobre 2021 </w:t>
      </w:r>
      <w:bookmarkEnd w:id="0"/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aurait exclu les autotests contenant un moyen de preuve pour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tablir la ou la non contamination au SARS-COV-2.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23"/>
          <w:szCs w:val="23"/>
          <w:u w:val="double"/>
        </w:rPr>
      </w:pP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Cette affirmation est fausse et erron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it-IT"/>
        </w:rPr>
        <w:t>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en-US"/>
        </w:rPr>
        <w:t>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niques peuvent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encore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hui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tablir la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gativit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 xml:space="preserve">la COVID-19.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express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interdit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des autotests, 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exclusif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tel ou tel test,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exclusion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fondamental de rappeler que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publique tout moyen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mis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pour la protection de la sant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titre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ventif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titre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rapeutique et que, de ce fait,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ne peut pas restreindre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utilisation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Par ailleurs, le renvoi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avis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Haute autorit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qui affirme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i w:val="1"/>
          <w:iCs w:val="1"/>
          <w:rtl w:val="0"/>
          <w:lang w:val="fr-FR"/>
        </w:rPr>
        <w:t xml:space="preserve">Sont de nature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justifier de l'absence de contamination par la covid-19 un examen de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pistage RT-PCR, un test antig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nique </w:t>
      </w:r>
      <w:r>
        <w:rPr>
          <w:rStyle w:val="Aucun"/>
          <w:i w:val="1"/>
          <w:iCs w:val="1"/>
          <w:u w:val="single"/>
          <w:rtl w:val="0"/>
        </w:rPr>
        <w:t>ou un autotest r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alis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u w:val="single"/>
          <w:rtl w:val="0"/>
          <w:lang w:val="fr-FR"/>
        </w:rPr>
        <w:t>sous la supervision d'un des professionnels de sant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mentionn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l'article 1er du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da-DK"/>
        </w:rPr>
        <w:t>cret n</w:t>
      </w:r>
      <w:r>
        <w:rPr>
          <w:rStyle w:val="Aucun"/>
          <w:i w:val="1"/>
          <w:iCs w:val="1"/>
          <w:rtl w:val="0"/>
          <w:lang w:val="it-IT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2020-1387 du 14 novembre 2020 fixant la liste des professionnels de sant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es-ES_tradnl"/>
        </w:rPr>
        <w:t>habilit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renseigner les syst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mes d'information [</w:t>
      </w:r>
      <w:r>
        <w:rPr>
          <w:rStyle w:val="Aucun"/>
          <w:i w:val="1"/>
          <w:iCs w:val="1"/>
          <w:rtl w:val="0"/>
        </w:rPr>
        <w:t>…</w:t>
      </w:r>
      <w:r>
        <w:rPr>
          <w:rStyle w:val="Aucun"/>
          <w:i w:val="1"/>
          <w:iCs w:val="1"/>
          <w:rtl w:val="0"/>
          <w:lang w:val="pt-PT"/>
        </w:rPr>
        <w:t>.]</w:t>
      </w:r>
      <w:r>
        <w:rPr>
          <w:rStyle w:val="Aucun"/>
          <w:i w:val="1"/>
          <w:iCs w:val="1"/>
          <w:rtl w:val="0"/>
          <w:lang w:val="it-IT"/>
        </w:rPr>
        <w:t xml:space="preserve"> » </w:t>
      </w:r>
      <w:r>
        <w:rPr>
          <w:rStyle w:val="Aucun"/>
          <w:rtl w:val="0"/>
          <w:lang w:val="it-IT"/>
        </w:rPr>
        <w:t>atteste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que 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niques font partie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arsenal pour lutter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la contamination.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u w:val="double"/>
        </w:rPr>
      </w:pPr>
      <w:r>
        <w:rPr>
          <w:rStyle w:val="Aucun"/>
          <w:b w:val="1"/>
          <w:bCs w:val="1"/>
          <w:u w:val="double"/>
          <w:rtl w:val="0"/>
        </w:rPr>
        <w:t>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abrogation r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  <w:lang w:val="fr-FR"/>
        </w:rPr>
        <w:t>sultant du d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</w:rPr>
        <w:t xml:space="preserve">cret </w:t>
      </w:r>
      <w:r>
        <w:rPr>
          <w:rStyle w:val="Aucun"/>
          <w:b w:val="1"/>
          <w:bCs w:val="1"/>
          <w:i w:val="1"/>
          <w:iCs w:val="1"/>
          <w:u w:val="double"/>
          <w:rtl w:val="0"/>
        </w:rPr>
        <w:t>n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it-IT"/>
        </w:rPr>
        <w:t>°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fr-FR"/>
        </w:rPr>
        <w:t xml:space="preserve">2021-1343 du 14 octobre 2021 </w:t>
      </w:r>
      <w:r>
        <w:rPr>
          <w:rStyle w:val="Aucun"/>
          <w:b w:val="1"/>
          <w:bCs w:val="1"/>
          <w:u w:val="double"/>
          <w:rtl w:val="0"/>
          <w:lang w:val="fr-FR"/>
        </w:rPr>
        <w:t>concerne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</w:rPr>
        <w:t>autotest certifi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un professionnel de sant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mais pas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autotest pratiqu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la personne individuellement.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14"/>
          <w:szCs w:val="14"/>
          <w:u w:val="double"/>
        </w:rPr>
      </w:pP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Faut-il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tablir la preuve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un Passe Sanitaire par le biais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un QR Code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?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23"/>
          <w:szCs w:val="23"/>
          <w:u w:val="double"/>
        </w:rPr>
      </w:pP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La r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ponse est n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it-IT"/>
        </w:rPr>
        <w:t>gative.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Ni la loi ni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imposent un contr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biais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un QR Code.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pt-PT"/>
        </w:rPr>
        <w:t>2021-1059 du 7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2021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fr-FR"/>
        </w:rPr>
        <w:t>2021-699 du 1 er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gestion de la crise sanitaire,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modifi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celui-ci dispose en son article I, III. que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La lecture des justificatifs par les personnes et services mentionn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au II </w:t>
      </w:r>
      <w:r>
        <w:rPr>
          <w:rStyle w:val="Aucun"/>
          <w:b w:val="1"/>
          <w:bCs w:val="1"/>
          <w:u w:val="double"/>
          <w:rtl w:val="0"/>
          <w:lang w:val="fr-FR"/>
        </w:rPr>
        <w:t>peut</w:t>
      </w:r>
      <w:r>
        <w:rPr>
          <w:rStyle w:val="Aucun"/>
          <w:rtl w:val="0"/>
          <w:lang w:val="fr-FR"/>
        </w:rPr>
        <w:t xml:space="preserve"> 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moyen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application mobile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nomm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i w:val="1"/>
          <w:iCs w:val="1"/>
          <w:rtl w:val="1"/>
          <w:lang w:val="ar-SA" w:bidi="ar-SA"/>
        </w:rPr>
        <w:t>“</w:t>
      </w:r>
      <w:r>
        <w:rPr>
          <w:rStyle w:val="Aucun"/>
          <w:i w:val="1"/>
          <w:iCs w:val="1"/>
          <w:rtl w:val="0"/>
          <w:lang w:val="fr-FR"/>
        </w:rPr>
        <w:t>TousAntiCovid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rif </w:t>
      </w:r>
      <w:r>
        <w:rPr>
          <w:rStyle w:val="Aucun"/>
          <w:i w:val="1"/>
          <w:iCs w:val="1"/>
          <w:rtl w:val="0"/>
        </w:rPr>
        <w:t>”</w:t>
      </w:r>
      <w:r>
        <w:rPr>
          <w:rStyle w:val="Aucun"/>
          <w:rtl w:val="0"/>
          <w:lang w:val="fr-FR"/>
        </w:rPr>
        <w:t xml:space="preserve">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par le ministre charg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(direction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de la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), ou de tout autre dispositif de lecture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pondant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des conditions fix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un arr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ministres charg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du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rique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Il ressort ainsi que le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peut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du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cret du 7 ao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 2021 ne fait nullement appara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î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tre que le QR code est le moyen technologique et num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rique exclusif de nature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justifier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un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passe sanitaire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Ainsi, </w:t>
      </w:r>
      <w:r>
        <w:rPr>
          <w:rStyle w:val="Aucun"/>
          <w:b w:val="1"/>
          <w:bCs w:val="1"/>
          <w:u w:val="single"/>
          <w:rtl w:val="0"/>
        </w:rPr>
        <w:t>« </w:t>
      </w:r>
      <w:r>
        <w:rPr>
          <w:rStyle w:val="Aucun"/>
          <w:b w:val="1"/>
          <w:bCs w:val="1"/>
          <w:u w:val="single"/>
          <w:rtl w:val="0"/>
          <w:lang w:val="fr-FR"/>
        </w:rPr>
        <w:t>tout ce qui n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est pas interdit est permis</w:t>
      </w:r>
      <w:r>
        <w:rPr>
          <w:rStyle w:val="Aucun"/>
          <w:b w:val="1"/>
          <w:bCs w:val="1"/>
          <w:u w:val="single"/>
          <w:rtl w:val="0"/>
        </w:rPr>
        <w:t> »</w:t>
      </w:r>
      <w:r>
        <w:rPr>
          <w:rStyle w:val="Aucun"/>
          <w:rtl w:val="0"/>
          <w:lang w:val="fr-FR"/>
        </w:rPr>
        <w:t xml:space="preserve"> et, de ce fait, la preuve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fait juridique peut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apport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tout moyen 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article 1358 du Code civil.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quent, tout refus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exercice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livrance de biens ou service, par le refus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attestation, justifiera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plainte pour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nal.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Or, la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sanctionn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articles L.1132-1 et suivants du Code du travail et que les articles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nal.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surabondant de rappeler que toute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punissable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une peine de </w:t>
      </w:r>
      <w:r>
        <w:rPr>
          <w:rStyle w:val="Aucun"/>
          <w:b w:val="1"/>
          <w:bCs w:val="1"/>
          <w:u w:val="single"/>
          <w:rtl w:val="0"/>
          <w:lang w:val="fr-FR"/>
        </w:rPr>
        <w:t>trois ans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 et de 45</w:t>
      </w:r>
      <w:r>
        <w:rPr>
          <w:rStyle w:val="Aucun"/>
          <w:b w:val="1"/>
          <w:bCs w:val="1"/>
          <w:u w:val="single"/>
          <w:rtl w:val="0"/>
        </w:rPr>
        <w:t> </w:t>
      </w:r>
      <w:r>
        <w:rPr>
          <w:rStyle w:val="Aucun"/>
          <w:b w:val="1"/>
          <w:bCs w:val="1"/>
          <w:u w:val="single"/>
          <w:rtl w:val="0"/>
        </w:rPr>
        <w:t>000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, et cela tant pour les auteurs que pour les complices.</w:t>
      </w:r>
    </w:p>
    <w:p>
      <w:pPr>
        <w:pStyle w:val="Corps"/>
        <w:spacing w:before="180"/>
        <w:ind w:left="116" w:firstLine="0"/>
        <w:jc w:val="both"/>
      </w:pPr>
      <w:r>
        <w:rPr>
          <w:rStyle w:val="Aucun"/>
          <w:rtl w:val="0"/>
          <w:lang w:val="fr-FR"/>
        </w:rPr>
        <w:t>Fait pour valoir ce que de droit.</w:t>
      </w:r>
    </w:p>
    <w:sectPr>
      <w:headerReference w:type="default" r:id="rId4"/>
      <w:footerReference w:type="default" r:id="rId5"/>
      <w:pgSz w:w="11920" w:h="16840" w:orient="portrait"/>
      <w:pgMar w:top="907" w:right="1298" w:bottom="278" w:left="1298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